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06" w:rsidRDefault="00664806" w:rsidP="006648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 к письму</w:t>
      </w:r>
    </w:p>
    <w:p w:rsidR="00664806" w:rsidRDefault="00ED1347" w:rsidP="006648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«01</w:t>
      </w:r>
      <w:r w:rsidR="00664806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октября </w:t>
      </w:r>
      <w:r w:rsidR="00664806">
        <w:rPr>
          <w:rFonts w:ascii="Times New Roman" w:hAnsi="Times New Roman"/>
          <w:sz w:val="20"/>
          <w:szCs w:val="20"/>
        </w:rPr>
        <w:t>2018</w:t>
      </w:r>
    </w:p>
    <w:p w:rsidR="00664806" w:rsidRDefault="00664806" w:rsidP="006648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№15/22-Исх -</w:t>
      </w:r>
      <w:r w:rsidR="00ED1347">
        <w:rPr>
          <w:rFonts w:ascii="Times New Roman" w:hAnsi="Times New Roman"/>
          <w:sz w:val="20"/>
          <w:szCs w:val="20"/>
        </w:rPr>
        <w:t>1180</w:t>
      </w:r>
    </w:p>
    <w:p w:rsidR="00664806" w:rsidRPr="0022603A" w:rsidRDefault="00664806" w:rsidP="00664806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806" w:rsidRPr="0022603A" w:rsidRDefault="00664806" w:rsidP="006648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4806" w:rsidRPr="00664806" w:rsidRDefault="00664806" w:rsidP="0066480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исполнении плана мероприятий </w:t>
      </w:r>
      <w:r w:rsidRPr="00664806">
        <w:rPr>
          <w:rFonts w:ascii="Times New Roman" w:hAnsi="Times New Roman"/>
          <w:sz w:val="28"/>
          <w:szCs w:val="28"/>
        </w:rPr>
        <w:t>по реализации Концепции</w:t>
      </w: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комплексного сопровождения </w:t>
      </w:r>
    </w:p>
    <w:p w:rsidR="00664806" w:rsidRPr="00664806" w:rsidRDefault="00664806" w:rsidP="0066480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>людей с расстройствами аутистического спектра  и другими ментал</w:t>
      </w:r>
      <w:r w:rsidR="00ED1347">
        <w:rPr>
          <w:rFonts w:ascii="Times New Roman" w:eastAsia="Times New Roman" w:hAnsi="Times New Roman"/>
          <w:sz w:val="28"/>
          <w:szCs w:val="28"/>
          <w:lang w:eastAsia="ru-RU"/>
        </w:rPr>
        <w:t xml:space="preserve">ьными нарушениями (далее – люди </w:t>
      </w: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>с РАС)</w:t>
      </w:r>
    </w:p>
    <w:p w:rsidR="00664806" w:rsidRPr="00664806" w:rsidRDefault="00664806" w:rsidP="0066480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автономном округе – Югре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2018 года</w:t>
      </w:r>
    </w:p>
    <w:p w:rsidR="00664806" w:rsidRPr="00664806" w:rsidRDefault="00664806" w:rsidP="0066480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06">
        <w:rPr>
          <w:rFonts w:ascii="Times New Roman" w:eastAsia="Times New Roman" w:hAnsi="Times New Roman"/>
          <w:sz w:val="28"/>
          <w:szCs w:val="28"/>
          <w:lang w:eastAsia="ru-RU"/>
        </w:rPr>
        <w:t>БУ «Сургутский реабилитационный центр»</w:t>
      </w:r>
    </w:p>
    <w:p w:rsidR="00664806" w:rsidRPr="00664806" w:rsidRDefault="00664806" w:rsidP="0066480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6"/>
        <w:gridCol w:w="6945"/>
      </w:tblGrid>
      <w:tr w:rsidR="00664806" w:rsidRPr="008C77E2" w:rsidTr="0022630A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spacing w:after="0" w:line="240" w:lineRule="auto"/>
              <w:ind w:left="-4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64806" w:rsidRPr="008C77E2" w:rsidRDefault="00664806" w:rsidP="0022630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spacing w:after="0" w:line="240" w:lineRule="auto"/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664806" w:rsidRPr="008C77E2" w:rsidTr="0022630A">
        <w:trPr>
          <w:trHeight w:val="1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 и людей с РАС получающих социальные услуги, число детей и людей с РАС для которых разработан непрерывный индивидуальный маршрут комплексной реабилитации детей с ограниченными  возможностями и молодых инвалидов (далее – непрерывный маршрут);</w:t>
            </w:r>
          </w:p>
          <w:p w:rsidR="00664806" w:rsidRPr="008C77E2" w:rsidRDefault="00664806" w:rsidP="008264C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получаемые в рамках непрерывного маршрута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Например:</w:t>
            </w:r>
          </w:p>
          <w:p w:rsidR="00664806" w:rsidRPr="008C77E2" w:rsidRDefault="00664806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F30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 несовершеннолетних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РАС и другими ментальными нарушениями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64806" w:rsidRPr="008C77E2" w:rsidRDefault="00664806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0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непрерывных маршрута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64806" w:rsidRPr="008C77E2" w:rsidRDefault="00F308BE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детям с РАС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числа детей с РАС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другими ментальными нарушениями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664806" w:rsidRDefault="00F308BE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детям с ментальными нарушениями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 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числа детей с ментальными нарушениями)</w:t>
            </w:r>
            <w:r w:rsidR="00D87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7601" w:rsidRPr="008264ED" w:rsidRDefault="00D87601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получаемые в рамках непрерывного маршрута:</w:t>
            </w:r>
          </w:p>
          <w:p w:rsidR="00D87601" w:rsidRPr="008264ED" w:rsidRDefault="00D87601" w:rsidP="0022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социально-бытовые,</w:t>
            </w:r>
          </w:p>
          <w:p w:rsidR="00D87601" w:rsidRPr="008264ED" w:rsidRDefault="008264ED" w:rsidP="00826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="00D87601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оциально-психологическ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ие,</w:t>
            </w:r>
          </w:p>
          <w:p w:rsidR="008264ED" w:rsidRPr="008C77E2" w:rsidRDefault="008264ED" w:rsidP="008264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-социально-педагогические.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806" w:rsidRPr="008C77E2" w:rsidTr="0022630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25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9C2855" w:rsidRDefault="00664806" w:rsidP="00052E5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(количество специалистов, оказывающих услуги детям с РАС)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9C2855" w:rsidRDefault="00664806" w:rsidP="008264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Количество специалистов, оказывающих услуги детям с РАС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C2855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855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социальный  работник – </w:t>
            </w:r>
            <w:r w:rsidR="008264ED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– </w:t>
            </w:r>
            <w:r w:rsidR="008264ED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логопед – </w:t>
            </w:r>
            <w:r w:rsidR="009C2855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культорганизатор – 1, инструктор по труду – 1, инструктор по АФК – 2,</w:t>
            </w:r>
            <w:r w:rsidR="000F0EA8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инструктор по ЛФК – 1, 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0EA8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дополнительного образования – 1, социальный педагог – </w:t>
            </w:r>
            <w:r w:rsidR="009C2855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0EA8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врач – психиатр – 1, медицинская  сестра по массажу – 2, медицинская сестра  физиотерапевтическая – 1; врач-невролог – 1, врач – физиотерапевт – 1, врач-педиатр – 1, старшая медицинская сестра- 1, 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64ED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социальной работе – 1, 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них </w:t>
            </w:r>
            <w:r w:rsidR="004B3B33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аттестованных на соответствие занимаемой должности – 14 чел</w:t>
            </w:r>
            <w:r w:rsidR="008264ED" w:rsidRP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25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социальной защиты населения современным технологиям и методикам в сфере оказания комплексной помощи детям с РАС и семьям, их воспитывающим(количество специалистов обученных, сколько планируется обучить)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0F0EA8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обучены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специалистов, нуждающихся в обучении;</w:t>
            </w:r>
          </w:p>
          <w:p w:rsidR="00664806" w:rsidRDefault="000F0EA8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требуется </w:t>
            </w:r>
            <w:r w:rsid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 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обучить,</w:t>
            </w:r>
            <w:r w:rsidR="00826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</w:t>
            </w:r>
            <w:r w:rsidR="004B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специалистов.</w:t>
            </w:r>
          </w:p>
          <w:p w:rsidR="00664806" w:rsidRDefault="008264E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обучения:</w:t>
            </w:r>
          </w:p>
          <w:p w:rsidR="00664806" w:rsidRPr="005015D9" w:rsidRDefault="008264ED" w:rsidP="005015D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15D9">
              <w:rPr>
                <w:rFonts w:ascii="Times New Roman" w:hAnsi="Times New Roman"/>
                <w:sz w:val="24"/>
                <w:szCs w:val="24"/>
              </w:rPr>
              <w:t>«Система комплексного непрерывного сопровождения абилитации и социальной адаптации детей, подростков и взрослых людей с РАС» АНО «Центр реабилитации инвалидов детства «Наш солнечный мир» (г. Москва)</w:t>
            </w:r>
            <w:r w:rsidR="00501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25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объединений специалистов (открытых площадок и др.) предоставляющих социальные услуги детям, с особенностями развития, в том числе с РАС (логопеды, психологи, педагоги, инструкторы по адаптивной физической культуре, специалисты по реабилитации инвалидов и др.) в целях повышения профессиональной компетентности, обмена опытом работников организаций различной ведомственной принадлежности автономного округа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5015D9" w:rsidP="00546E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учреждения (1 психолог, 1 заведующий отделением, 1 директор) приняли участие в 2-х заседаниях </w:t>
            </w:r>
            <w:r w:rsidRPr="005015D9">
              <w:rPr>
                <w:rFonts w:ascii="Times New Roman" w:hAnsi="Times New Roman"/>
                <w:sz w:val="24"/>
                <w:szCs w:val="24"/>
              </w:rPr>
              <w:t xml:space="preserve">межведомственной рабочей группы по реализации Концепции. </w:t>
            </w:r>
            <w:r w:rsidRPr="00546E18">
              <w:rPr>
                <w:rFonts w:ascii="Times New Roman" w:hAnsi="Times New Roman"/>
                <w:sz w:val="24"/>
                <w:szCs w:val="24"/>
              </w:rPr>
              <w:t xml:space="preserve">На заседаниях рассматривались вопросы по разработке и утверждению </w:t>
            </w:r>
            <w:r w:rsidR="00546E18" w:rsidRPr="00546E18">
              <w:rPr>
                <w:rFonts w:ascii="Times New Roman" w:hAnsi="Times New Roman"/>
                <w:sz w:val="24"/>
                <w:szCs w:val="24"/>
              </w:rPr>
              <w:t xml:space="preserve">индивидуальных маршрутных листов, вопросы межведомственного сотрудничества </w:t>
            </w:r>
            <w:r w:rsidR="00546E18">
              <w:rPr>
                <w:rFonts w:ascii="Times New Roman" w:hAnsi="Times New Roman"/>
                <w:sz w:val="24"/>
                <w:szCs w:val="24"/>
              </w:rPr>
              <w:t>по</w:t>
            </w:r>
            <w:r w:rsidR="00546E18" w:rsidRPr="00546E18">
              <w:rPr>
                <w:rFonts w:ascii="Times New Roman" w:hAnsi="Times New Roman"/>
                <w:sz w:val="24"/>
                <w:szCs w:val="24"/>
              </w:rPr>
              <w:t xml:space="preserve"> обмен</w:t>
            </w:r>
            <w:r w:rsidR="00546E18">
              <w:rPr>
                <w:rFonts w:ascii="Times New Roman" w:hAnsi="Times New Roman"/>
                <w:sz w:val="24"/>
                <w:szCs w:val="24"/>
              </w:rPr>
              <w:t>у</w:t>
            </w:r>
            <w:r w:rsidR="00546E18" w:rsidRPr="00546E18">
              <w:rPr>
                <w:rFonts w:ascii="Times New Roman" w:hAnsi="Times New Roman"/>
                <w:sz w:val="24"/>
                <w:szCs w:val="24"/>
              </w:rPr>
              <w:t xml:space="preserve"> данными о лицах с РАС и другими ментальными нарушениями,  в отношении которых разрабатываются индивидуальные маршруты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25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организаций, реализующих социальные услуги по оказанию комплексной помощи детям с РАС, реабилитационным оборудованием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8B" w:rsidRDefault="00664806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B0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текущем году для альтернативной коммуникации  14 несовершеннолетних с РАС, признаками РАС приобретены</w:t>
            </w:r>
            <w:r w:rsidR="00B07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средства </w:t>
            </w:r>
            <w:r w:rsidR="00A7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гранта Фонда поддержки детей, находящихся в трудной </w:t>
            </w:r>
            <w:r w:rsidR="00B0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297D" w:rsidRDefault="00A7297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жизненной ситуации:</w:t>
            </w:r>
          </w:p>
          <w:p w:rsidR="00A7297D" w:rsidRDefault="00A7297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коммуникатор для чтения,</w:t>
            </w:r>
          </w:p>
          <w:p w:rsidR="00A7297D" w:rsidRDefault="00A7297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моноблок,</w:t>
            </w:r>
          </w:p>
          <w:p w:rsidR="00A7297D" w:rsidRDefault="00A7297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-программное обеспечение «Специальные образовательные средства»,</w:t>
            </w:r>
          </w:p>
          <w:p w:rsidR="00A7297D" w:rsidRDefault="00A7297D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пластиковая акустическая трубка.</w:t>
            </w:r>
          </w:p>
          <w:p w:rsidR="00A7297D" w:rsidRPr="00A7297D" w:rsidRDefault="00A7297D" w:rsidP="00A7297D">
            <w:pPr>
              <w:spacing w:after="0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97D">
              <w:rPr>
                <w:rFonts w:ascii="Times New Roman" w:hAnsi="Times New Roman"/>
                <w:sz w:val="24"/>
                <w:szCs w:val="24"/>
              </w:rPr>
              <w:t xml:space="preserve">В учреждении оборудована </w:t>
            </w:r>
            <w:r w:rsidRPr="00A72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комната сенсорной интеграции «Дом Совы», способствующая развитию и обработки сенсорных </w:t>
            </w:r>
            <w:r w:rsidRPr="00A7297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стимулов тактильных, вкусовых, зрительных, вестибулярных, обонятельных, проприочувствительных.  </w:t>
            </w:r>
            <w:r w:rsidRPr="00A729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Сенсорная комната</w:t>
            </w:r>
            <w:r w:rsidRPr="00A72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предназначена для индивидуальной и групповой работы с детьми, имеющими различные трудности в развитии и социально-поведенческие нарушения. В  комнате ведется  работа по  </w:t>
            </w:r>
            <w:r w:rsidRPr="00A7297D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 эмоциональных нагрузок, снятие чувства тревоги развитие взаимодействия друг с другом, преодоление агрессивного состояния, избавление от страхов с 16 несовершеннолетними.</w:t>
            </w:r>
          </w:p>
          <w:p w:rsidR="00664806" w:rsidRPr="008C77E2" w:rsidRDefault="00A7297D" w:rsidP="00A7297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Всего 14 несовершеннолетних получили социально-педагогические услуги.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25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диагностики, информации о доступных услугах ранней помощи (сколько, когда). </w:t>
            </w:r>
          </w:p>
          <w:p w:rsidR="00664806" w:rsidRPr="008C77E2" w:rsidRDefault="00664806" w:rsidP="0022630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информационно-пропагандистской деятельности по проблеме аутизма, развитию региональной системы комплексной помощи детям с РАС.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hAnsi="Times New Roman"/>
                <w:sz w:val="24"/>
                <w:szCs w:val="24"/>
              </w:rPr>
              <w:t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39" w:rsidRPr="00016027" w:rsidRDefault="00DE6639" w:rsidP="00DE6639">
            <w:pPr>
              <w:pStyle w:val="Default"/>
              <w:spacing w:line="276" w:lineRule="auto"/>
              <w:jc w:val="both"/>
              <w:rPr>
                <w:iCs/>
              </w:rPr>
            </w:pPr>
            <w:r w:rsidRPr="00016027">
              <w:rPr>
                <w:iCs/>
              </w:rPr>
              <w:t>Материалы, размещенные на официальном сайте учреждения http://добрыйволшебник.рф/</w:t>
            </w:r>
            <w:r w:rsidR="00CC5757">
              <w:rPr>
                <w:iCs/>
              </w:rPr>
              <w:t>:</w:t>
            </w:r>
          </w:p>
          <w:p w:rsidR="00DE6639" w:rsidRPr="00016027" w:rsidRDefault="00DE6639" w:rsidP="00DE6639">
            <w:pPr>
              <w:pStyle w:val="Default"/>
              <w:spacing w:line="276" w:lineRule="auto"/>
              <w:ind w:firstLine="709"/>
              <w:jc w:val="both"/>
            </w:pPr>
            <w:r w:rsidRPr="00016027">
              <w:rPr>
                <w:iCs/>
              </w:rPr>
              <w:t xml:space="preserve">- </w:t>
            </w:r>
            <w:hyperlink r:id="rId7" w:tooltip="Памятка об Аутизме, разработанная АНО " w:history="1">
              <w:r w:rsidRPr="00016027">
                <w:t>памятка об Аутизме, разработанная АНО «Центр реабилитации инвалидов детства «Наш солнечный мир»</w:t>
              </w:r>
            </w:hyperlink>
            <w:r w:rsidRPr="00016027">
              <w:t>;</w:t>
            </w:r>
          </w:p>
          <w:p w:rsidR="00DE6639" w:rsidRPr="00016027" w:rsidRDefault="00DE6639" w:rsidP="00DE6639">
            <w:pPr>
              <w:pStyle w:val="Default"/>
              <w:spacing w:line="276" w:lineRule="auto"/>
              <w:ind w:firstLine="709"/>
              <w:jc w:val="both"/>
            </w:pPr>
            <w:r w:rsidRPr="00016027">
              <w:t xml:space="preserve">- </w:t>
            </w:r>
            <w:hyperlink r:id="rId8" w:tooltip="Брошюра_Аутизм_25.07.2017.pdf" w:history="1">
              <w:r w:rsidRPr="00016027">
                <w:t>брошюра «Аутизм. Что нужно знать родителям для ранней диагностики расстройств аутистического спектра у ребенка»;</w:t>
              </w:r>
            </w:hyperlink>
          </w:p>
          <w:p w:rsidR="00DE6639" w:rsidRPr="00016027" w:rsidRDefault="00DE6639" w:rsidP="00DE6639">
            <w:pPr>
              <w:pStyle w:val="Default"/>
              <w:spacing w:line="276" w:lineRule="auto"/>
              <w:ind w:firstLine="709"/>
              <w:jc w:val="both"/>
            </w:pPr>
            <w:r w:rsidRPr="00016027">
              <w:t>- консультация для родителей «Научите меня говорить»;</w:t>
            </w:r>
          </w:p>
          <w:p w:rsidR="00DE6639" w:rsidRPr="00016027" w:rsidRDefault="00DE6639" w:rsidP="00DE6639">
            <w:pPr>
              <w:pStyle w:val="Default"/>
              <w:spacing w:line="276" w:lineRule="auto"/>
              <w:ind w:firstLine="709"/>
              <w:jc w:val="both"/>
            </w:pPr>
            <w:r w:rsidRPr="00016027">
              <w:t>- пособие «</w:t>
            </w:r>
            <w:hyperlink r:id="rId9" w:history="1">
              <w:r w:rsidRPr="00016027">
                <w:t>Аутизм и работа. Вместе мы сможем» / пер. с англ. М. Шихиревой. – АНО «Наш Солнечный мир».</w:t>
              </w:r>
            </w:hyperlink>
            <w:r w:rsidRPr="00016027">
              <w:t xml:space="preserve"> </w:t>
            </w:r>
            <w:hyperlink r:id="rId10" w:tooltip="Организация жизненного пространства ребенка с РАС.pdf" w:history="1">
              <w:r w:rsidRPr="00016027">
                <w:t>Памятка «Организация жизненного пространства ребенка с расстройствами аутистического спектра»</w:t>
              </w:r>
            </w:hyperlink>
            <w:r w:rsidRPr="00016027">
              <w:t>;</w:t>
            </w:r>
          </w:p>
          <w:p w:rsidR="00DE6639" w:rsidRPr="00016027" w:rsidRDefault="00A36C3E" w:rsidP="00DE6639">
            <w:pPr>
              <w:pStyle w:val="Default"/>
              <w:spacing w:line="276" w:lineRule="auto"/>
              <w:ind w:firstLine="709"/>
              <w:jc w:val="both"/>
            </w:pPr>
            <w:hyperlink r:id="rId11" w:tooltip="Формирование жизненны компитенций у ребенка с РАС.pdf" w:history="1">
              <w:r w:rsidR="00DE6639" w:rsidRPr="00016027">
                <w:t>- памятка «Формирование жизненных компетенций у ребенка с расстройствами аутистического спектра»</w:t>
              </w:r>
            </w:hyperlink>
            <w:r w:rsidR="00DE6639" w:rsidRPr="00016027">
              <w:t>;</w:t>
            </w:r>
          </w:p>
          <w:p w:rsidR="00DE6639" w:rsidRPr="00016027" w:rsidRDefault="00A36C3E" w:rsidP="00DE6639">
            <w:pPr>
              <w:pStyle w:val="Default"/>
              <w:spacing w:line="276" w:lineRule="auto"/>
              <w:ind w:firstLine="709"/>
              <w:jc w:val="both"/>
            </w:pPr>
            <w:hyperlink r:id="rId12" w:tooltip="Что нужно знать об аутизме.pdf" w:history="1">
              <w:r w:rsidR="00DE6639" w:rsidRPr="00016027">
                <w:t>- памятка для родителей «Что нужно знать об аутизме»</w:t>
              </w:r>
            </w:hyperlink>
            <w:r w:rsidR="00DE6639" w:rsidRPr="00016027">
              <w:t>;</w:t>
            </w:r>
          </w:p>
          <w:p w:rsidR="00DE6639" w:rsidRPr="00016027" w:rsidRDefault="00A36C3E" w:rsidP="00DE6639">
            <w:pPr>
              <w:pStyle w:val="Default"/>
              <w:spacing w:line="276" w:lineRule="auto"/>
              <w:ind w:firstLine="709"/>
              <w:jc w:val="both"/>
            </w:pPr>
            <w:hyperlink r:id="rId13" w:tooltip="Симптомы аутизма.pdf" w:history="1">
              <w:r w:rsidR="00DE6639" w:rsidRPr="00016027">
                <w:t>- памятка для родителей «Симптомы аутизма в поведении ребенка в возрасте 1,5 - 2-х лет и старше»</w:t>
              </w:r>
            </w:hyperlink>
            <w:r w:rsidR="00DE6639" w:rsidRPr="00016027">
              <w:t>.</w:t>
            </w:r>
          </w:p>
          <w:p w:rsidR="00DE6639" w:rsidRPr="00016027" w:rsidRDefault="00DE6639" w:rsidP="00DE6639">
            <w:pPr>
              <w:pStyle w:val="Default"/>
              <w:spacing w:line="276" w:lineRule="auto"/>
              <w:ind w:firstLine="709"/>
              <w:jc w:val="both"/>
            </w:pPr>
            <w:r w:rsidRPr="00016027">
              <w:t xml:space="preserve">Во вкладке «Помощь людям с РАС» организована </w:t>
            </w:r>
            <w:r w:rsidRPr="00016027">
              <w:lastRenderedPageBreak/>
              <w:t>электронная библиотека по проблемам РАС, в которую включены:</w:t>
            </w:r>
          </w:p>
          <w:p w:rsidR="00DE6639" w:rsidRPr="0009317F" w:rsidRDefault="00DE6639" w:rsidP="0009317F">
            <w:pPr>
              <w:pStyle w:val="Default"/>
              <w:spacing w:line="276" w:lineRule="auto"/>
              <w:ind w:firstLine="176"/>
              <w:jc w:val="both"/>
            </w:pPr>
            <w:r w:rsidRPr="0009317F">
              <w:t>-</w:t>
            </w:r>
            <w:hyperlink r:id="rId14" w:history="1">
              <w:r w:rsidRPr="0009317F">
                <w:t xml:space="preserve"> электронная книга «Слово сквозь безмолвие». Дилигенский Н. (Москва, 2000)</w:t>
              </w:r>
            </w:hyperlink>
            <w:r w:rsidRPr="0009317F">
              <w:t>;</w:t>
            </w:r>
          </w:p>
          <w:p w:rsidR="00DE6639" w:rsidRPr="0009317F" w:rsidRDefault="00DE6639" w:rsidP="0009317F">
            <w:pPr>
              <w:pStyle w:val="Default"/>
              <w:spacing w:line="276" w:lineRule="auto"/>
              <w:ind w:firstLine="176"/>
              <w:jc w:val="both"/>
            </w:pPr>
            <w:r w:rsidRPr="0009317F">
              <w:t>- электронная книга</w:t>
            </w:r>
            <w:hyperlink r:id="rId15" w:history="1">
              <w:r w:rsidRPr="0009317F">
                <w:t xml:space="preserve"> «Почему я прыгаю. Внутренний мир 13-летнего мальчика с аутизмом». Наоки Хигасида. Рама Паблишинг, 2014</w:t>
              </w:r>
            </w:hyperlink>
            <w:r w:rsidRPr="0009317F">
              <w:t>;</w:t>
            </w:r>
          </w:p>
          <w:p w:rsidR="00DE6639" w:rsidRPr="0009317F" w:rsidRDefault="00DE6639" w:rsidP="0009317F">
            <w:pPr>
              <w:pStyle w:val="Default"/>
              <w:spacing w:line="276" w:lineRule="auto"/>
              <w:ind w:firstLine="176"/>
              <w:jc w:val="both"/>
            </w:pPr>
            <w:r w:rsidRPr="0009317F">
              <w:t xml:space="preserve">- </w:t>
            </w:r>
            <w:hyperlink r:id="rId16" w:history="1">
              <w:r w:rsidRPr="0009317F">
                <w:t>визуальное расписание для ребенка с аутизмом</w:t>
              </w:r>
            </w:hyperlink>
            <w:r w:rsidRPr="0009317F">
              <w:t>;</w:t>
            </w:r>
          </w:p>
          <w:p w:rsidR="00DE6639" w:rsidRPr="0009317F" w:rsidRDefault="00DE6639" w:rsidP="0009317F">
            <w:pPr>
              <w:widowControl w:val="0"/>
              <w:autoSpaceDE w:val="0"/>
              <w:autoSpaceDN w:val="0"/>
              <w:spacing w:after="0" w:line="240" w:lineRule="auto"/>
              <w:ind w:firstLine="176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17F">
              <w:rPr>
                <w:rFonts w:ascii="Times New Roman" w:hAnsi="Times New Roman"/>
                <w:sz w:val="24"/>
                <w:szCs w:val="24"/>
              </w:rPr>
              <w:t>- э</w:t>
            </w:r>
            <w:hyperlink r:id="rId17" w:history="1">
              <w:r w:rsidRPr="0009317F">
                <w:rPr>
                  <w:rFonts w:ascii="Times New Roman" w:hAnsi="Times New Roman"/>
                  <w:sz w:val="24"/>
                  <w:szCs w:val="24"/>
                </w:rPr>
                <w:t>лектронная книга «Игры с аутичным ребенком. Установление контакта, способы взаимодействия, развитие речи, психотерапия»</w:t>
              </w:r>
            </w:hyperlink>
            <w:r w:rsidRPr="0009317F">
              <w:rPr>
                <w:rFonts w:ascii="Times New Roman" w:hAnsi="Times New Roman"/>
                <w:sz w:val="24"/>
                <w:szCs w:val="24"/>
              </w:rPr>
              <w:t>. Янушко Е.А.</w:t>
            </w:r>
          </w:p>
          <w:p w:rsidR="00DE6639" w:rsidRDefault="00DE6639" w:rsidP="0022630A">
            <w:pPr>
              <w:widowControl w:val="0"/>
              <w:autoSpaceDE w:val="0"/>
              <w:autoSpaceDN w:val="0"/>
              <w:spacing w:after="0" w:line="240" w:lineRule="auto"/>
              <w:ind w:firstLine="15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Изданы буклеты  по проекту «Детская тренировочная квартира» и представлены участникам Всероссийской выставке-форума «Вместе – ради детей. Вместе 10 лет» (57 регионов).                     В рамках интерактивной выставочной площадки ХМАО-Югры профессиональному сообществу  представлена работа учреждения с детьми с РАС.</w:t>
            </w:r>
          </w:p>
          <w:p w:rsidR="00664806" w:rsidRPr="008C77E2" w:rsidRDefault="00DE6639" w:rsidP="0009317F">
            <w:pPr>
              <w:widowControl w:val="0"/>
              <w:autoSpaceDE w:val="0"/>
              <w:autoSpaceDN w:val="0"/>
              <w:spacing w:after="0" w:line="240" w:lineRule="auto"/>
              <w:ind w:firstLine="15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информационно-пропагандистской деятельности о проблемах аутизма</w:t>
            </w:r>
            <w:r w:rsidR="00D95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и родители </w:t>
            </w:r>
            <w:r w:rsidR="00D95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приняли участие в ежегодной акции «Зажги синим</w:t>
            </w:r>
            <w:r w:rsidR="0009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разработка и реализация индивидуальной программы ранней помощи и сопровождения ребенка и семьи;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реализация программ развития и адаптации личности (изо-терапия, музыкальная и игровая терапия);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7" w:rsidRDefault="00CC5757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8-ми несовершеннолетним предоставлены 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 ранней помощи в виде</w:t>
            </w:r>
            <w:r w:rsidR="00240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40C7A" w:rsidRPr="008C77E2" w:rsidRDefault="00240C7A" w:rsidP="00240C7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индивидуальной программы ранней помощи и сопровождения ребенка и семьи;</w:t>
            </w:r>
          </w:p>
          <w:p w:rsidR="00240C7A" w:rsidRPr="008C77E2" w:rsidRDefault="00240C7A" w:rsidP="00240C7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развития и адаптации личности (изо-терапия, музыкальная и игровая терапия);</w:t>
            </w:r>
          </w:p>
          <w:p w:rsidR="00240C7A" w:rsidRDefault="00240C7A" w:rsidP="00240C7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</w:t>
            </w:r>
          </w:p>
          <w:p w:rsidR="00664806" w:rsidRPr="008C77E2" w:rsidRDefault="00240C7A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ранней помощи разработаны, </w:t>
            </w:r>
            <w:r w:rsidR="00CC5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количества нуждающихся в разработке программ 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ранней помощи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Default="003561A8" w:rsidP="003561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учреждении 2 </w:t>
            </w:r>
            <w:r w:rsidR="00664806" w:rsidRPr="00AA2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структурных подразделени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 реализующих проекты и программы для детей с РАС и другими ментальными нарушениями, 7</w:t>
            </w:r>
            <w:r w:rsidR="00664806" w:rsidRPr="00AA2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реабилитационных и абилитационных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61A8" w:rsidRPr="003561A8" w:rsidRDefault="003561A8" w:rsidP="003561A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1A8">
              <w:rPr>
                <w:rFonts w:ascii="Times New Roman" w:hAnsi="Times New Roman"/>
                <w:sz w:val="24"/>
                <w:szCs w:val="24"/>
              </w:rPr>
              <w:t>БУ «Сургутский реабилитационный центр» организованы мероприятия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услуг, посредством реализации реабилитационных проектов и программ: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>-  комплексная программа социальной реабилитации подростков с ограниченными возможностями здоровья «Детская тренировочная квартира «Жизнь в полном спектре»;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  <w:rPr>
                <w:bCs/>
              </w:rPr>
            </w:pPr>
            <w:r w:rsidRPr="003561A8">
              <w:t xml:space="preserve">- </w:t>
            </w:r>
            <w:r w:rsidRPr="003561A8">
              <w:rPr>
                <w:bCs/>
              </w:rPr>
              <w:t>педагогический проект социально-бытовой и коррекционно-развивающей помощи детям с расстройствами аутистического спектра 3-8 лет «Один мир на всех»;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>- проект по социально-бытовой реабилитации несовершеннолетних в условиях тренировочной квартиры;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>- проект по социально-культурной реабилитации несовершеннолетних в условиях тренировочной квартиры «Самовыражение»;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 xml:space="preserve">-социально-психологический курс для родителей детей с  </w:t>
            </w:r>
            <w:r w:rsidRPr="003561A8">
              <w:rPr>
                <w:bCs/>
              </w:rPr>
              <w:t xml:space="preserve">расстройствами аутистического спектра </w:t>
            </w:r>
            <w:r w:rsidRPr="003561A8">
              <w:t>«Точка опоры»;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>-  тренинг по групповой социализации несовершеннолетних в условиях тренировочной квартиры «Соседи»;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t>- программа «Речь и альтернативная коммуникация».</w:t>
            </w:r>
          </w:p>
          <w:p w:rsidR="003561A8" w:rsidRPr="003561A8" w:rsidRDefault="003561A8" w:rsidP="003561A8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  <w:r w:rsidRPr="003561A8">
              <w:rPr>
                <w:iCs/>
                <w:color w:val="auto"/>
              </w:rPr>
              <w:t>В 1 полугодии 2018 года проектами и программами охвачено 92 несовершеннолетних с РАС и признаками РАС и 17 родителей (2017 год – 54 несовершеннолетних и 15 родителей).</w:t>
            </w:r>
          </w:p>
          <w:p w:rsidR="00664806" w:rsidRPr="003561A8" w:rsidRDefault="003561A8" w:rsidP="003561A8">
            <w:pPr>
              <w:pStyle w:val="Default"/>
              <w:spacing w:line="276" w:lineRule="auto"/>
              <w:jc w:val="both"/>
            </w:pPr>
            <w:r w:rsidRPr="003561A8">
              <w:rPr>
                <w:iCs/>
                <w:color w:val="auto"/>
              </w:rPr>
              <w:lastRenderedPageBreak/>
              <w:t xml:space="preserve">В рамках проектов и программ </w:t>
            </w:r>
            <w:r w:rsidRPr="003561A8">
              <w:t>реализуются  наиболее эффективные методики и технологии по выработке самостоятельности, навыков социальной адаптации у детей и подростков, в том числе технологии тренировочной квартиры, альтернативной коммуникации, визуальное расписание</w:t>
            </w:r>
          </w:p>
        </w:tc>
      </w:tr>
      <w:tr w:rsidR="00664806" w:rsidRPr="008C77E2" w:rsidTr="00F1602F">
        <w:trPr>
          <w:trHeight w:val="36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осуществлению подготовки детей и подростков с РАС к самостоятельной жизни в обществе в соответствии с утвержденным региональным перечнем государственных услуг (результаты)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4C" w:rsidRPr="000F5A4C" w:rsidRDefault="000F5A4C" w:rsidP="000F5A4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64806" w:rsidRPr="000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подростков с РАС подготовлены к самостоятельной жизни, </w:t>
            </w:r>
            <w:r w:rsidR="002C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  <w:r w:rsidRPr="000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806" w:rsidRPr="000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количества. </w:t>
            </w:r>
            <w:r w:rsidRPr="000F5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Несовершеннолетние обучены социально-бытовым, коммуникативным навыкам. </w:t>
            </w:r>
          </w:p>
          <w:p w:rsidR="000F5A4C" w:rsidRPr="00F1602F" w:rsidRDefault="000F5A4C" w:rsidP="00F16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A4C">
              <w:rPr>
                <w:rFonts w:ascii="Times New Roman" w:hAnsi="Times New Roman"/>
                <w:sz w:val="24"/>
                <w:szCs w:val="24"/>
              </w:rPr>
              <w:t>У 89 % детей</w:t>
            </w:r>
            <w:r w:rsidR="002C4948">
              <w:rPr>
                <w:rFonts w:ascii="Times New Roman" w:hAnsi="Times New Roman"/>
                <w:sz w:val="24"/>
                <w:szCs w:val="24"/>
              </w:rPr>
              <w:t xml:space="preserve"> из 39 человек </w:t>
            </w:r>
            <w:r w:rsidRPr="000F5A4C">
              <w:rPr>
                <w:rFonts w:ascii="Times New Roman" w:hAnsi="Times New Roman"/>
                <w:sz w:val="24"/>
                <w:szCs w:val="24"/>
              </w:rPr>
              <w:t xml:space="preserve"> (34 чел.) отмечается положительная динамика улучшение самочувствия, повышение физической активности, социализации. Уровень сформированных социально-бытовых  навыков повысился у 25 % детей (10 чел.); уровень социализации - у 25 % детей (10 чел.); уровень социально-культурных навыков - у 98 % детей (38 чел.); уровень трудовых умений вырос у 64 % детей  (25 чел.). К мероприятиям по формированию самостоятельной жизни  удалось привлечь 7 родителей</w:t>
            </w: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проведение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B" w:rsidRPr="00505B6B" w:rsidRDefault="00505B6B" w:rsidP="00505B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05B6B">
              <w:rPr>
                <w:bCs/>
                <w:color w:val="000000"/>
              </w:rPr>
              <w:t xml:space="preserve">В </w:t>
            </w:r>
            <w:r w:rsidRPr="00505B6B">
              <w:rPr>
                <w:bCs/>
                <w:color w:val="000000"/>
                <w:lang w:val="en-US"/>
              </w:rPr>
              <w:t>I</w:t>
            </w:r>
            <w:r w:rsidRPr="000D7FF0">
              <w:rPr>
                <w:bCs/>
                <w:color w:val="000000"/>
              </w:rPr>
              <w:t xml:space="preserve"> </w:t>
            </w:r>
            <w:r w:rsidRPr="00505B6B">
              <w:rPr>
                <w:bCs/>
                <w:color w:val="000000"/>
              </w:rPr>
              <w:t xml:space="preserve"> полугодии 2018 года </w:t>
            </w:r>
            <w:r w:rsidRPr="00505B6B">
              <w:rPr>
                <w:color w:val="000000"/>
              </w:rPr>
              <w:t>обучен</w:t>
            </w:r>
            <w:r>
              <w:rPr>
                <w:color w:val="000000"/>
              </w:rPr>
              <w:t>о</w:t>
            </w:r>
            <w:r w:rsidRPr="00505B6B">
              <w:rPr>
                <w:color w:val="000000"/>
              </w:rPr>
              <w:t xml:space="preserve">  48 детей</w:t>
            </w:r>
            <w:r w:rsidR="002C4948">
              <w:rPr>
                <w:color w:val="000000"/>
              </w:rPr>
              <w:t xml:space="preserve"> - 44 % от общей численности детей.</w:t>
            </w:r>
          </w:p>
          <w:p w:rsidR="00664806" w:rsidRPr="008C77E2" w:rsidRDefault="00505B6B" w:rsidP="00D66AC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 мероприятий по формированию и развитию социально-бытовых 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навыков, необходимых для игры и других видов деятельности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наблюдается  положительная динамика у 36</w:t>
            </w:r>
            <w:r w:rsidRPr="000D7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>% детей (</w:t>
            </w:r>
            <w:r w:rsidRPr="000D7F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 в эмоционально – личностной сфере; положительная динамика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социально-бытовых навыков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</w:t>
            </w:r>
            <w:r w:rsidR="00D66AC7">
              <w:rPr>
                <w:rFonts w:ascii="Times New Roman" w:hAnsi="Times New Roman"/>
                <w:color w:val="000000"/>
                <w:sz w:val="24"/>
                <w:szCs w:val="24"/>
              </w:rPr>
              <w:t>игровых заданий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27 % детей (</w:t>
            </w:r>
            <w:r w:rsidRPr="000D7F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чел.).</w:t>
            </w:r>
            <w:r w:rsidRPr="000D7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 отмечается у 50 % детей (2</w:t>
            </w:r>
            <w:r w:rsidRPr="000D7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505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чел.). </w:t>
            </w:r>
            <w:r w:rsidRPr="0050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Положительная динамика в развитии  </w:t>
            </w:r>
            <w:r w:rsidR="00D66A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навыков самостоятельного приема пищи и питья, навыков самообслуживания</w:t>
            </w:r>
            <w:r w:rsidRPr="00505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60 % (28 чел.)</w:t>
            </w:r>
          </w:p>
        </w:tc>
      </w:tr>
      <w:tr w:rsidR="00664806" w:rsidRPr="008C77E2" w:rsidTr="0022630A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формированию и развитию речи, </w:t>
            </w: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навыков общения ребенка, включая устную речь, дополнительную и альтернативную коммуникацию (достижения, динамика). 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 по обучению и консультированию членов семьи по вопросам поддержки развития речи и навыков общения у ребенка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D66AC7" w:rsidRDefault="00D66AC7" w:rsidP="002C49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66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несовершеннолетних приняли участие в программе «Речь и </w:t>
            </w:r>
            <w:r w:rsidRPr="00D66A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альтернативная коммуникация», 5 – в программе «Один мир на всех».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948">
              <w:rPr>
                <w:rFonts w:ascii="Times New Roman" w:hAnsi="Times New Roman"/>
                <w:sz w:val="24"/>
                <w:szCs w:val="24"/>
              </w:rPr>
              <w:t xml:space="preserve">18, 4 % от общей численности  несовершеннолетних.                            </w:t>
            </w:r>
            <w:r w:rsidRPr="00D66AC7">
              <w:rPr>
                <w:rFonts w:ascii="Times New Roman" w:hAnsi="Times New Roman"/>
                <w:sz w:val="24"/>
                <w:szCs w:val="24"/>
              </w:rPr>
              <w:t xml:space="preserve">С детьми проводились коррекционно-развивающие занятия по </w:t>
            </w:r>
            <w:r w:rsidRPr="00D66AC7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овладению коммуникативными и речевыми навыками  </w:t>
            </w:r>
            <w:r w:rsidR="002C4948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D66AC7">
              <w:rPr>
                <w:rStyle w:val="s1"/>
                <w:rFonts w:ascii="Times New Roman" w:hAnsi="Times New Roman"/>
                <w:sz w:val="24"/>
                <w:szCs w:val="24"/>
              </w:rPr>
              <w:t>с использованием средств вербальной и альтернативной коммуникации. В результате проведенной работы уровень речевого развития повысился у 45 % (6 чел.) несовершеннолетних. Используют средства вербальной коммуникации 23 % детей (3 чел.); средства альтернативной коммуникации 23 % детей (3 чел.)</w:t>
            </w:r>
          </w:p>
        </w:tc>
      </w:tr>
      <w:tr w:rsidR="00664806" w:rsidRPr="008C77E2" w:rsidTr="0022630A">
        <w:trPr>
          <w:trHeight w:val="9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5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806" w:rsidRPr="008C77E2" w:rsidTr="0022630A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(достижения, динамика). </w:t>
            </w:r>
          </w:p>
          <w:p w:rsidR="00664806" w:rsidRPr="008C77E2" w:rsidRDefault="00664806" w:rsidP="00D66AC7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консультирование членов семьи по вопросам моторного развития ребенка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F164C5" w:rsidP="00F164C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D6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64806" w:rsidRPr="00AE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664806" w:rsidRPr="00AE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другими ментальными нарушениями от общей численности детей и подростков сформированы</w:t>
            </w:r>
            <w:r w:rsidR="002C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C4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</w:t>
            </w:r>
            <w:r w:rsidR="001A6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благодаря проведению систематических коррекционно-оздоровительных занятий с инструкторами по АФК и ЛФК</w:t>
            </w:r>
            <w:r w:rsidR="00664806" w:rsidRPr="00AE3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806" w:rsidRPr="008C77E2" w:rsidTr="0022630A">
        <w:trPr>
          <w:trHeight w:val="7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5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профессиональной ориентации, комплексной программы социальной адаптации подростков с РАС на базе организаций социального обслуживания всех форм собственности. 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0" w:rsidRPr="009F47FF" w:rsidRDefault="00F164C5" w:rsidP="009F4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учреждении реализу</w:t>
            </w:r>
            <w:r w:rsidR="009F4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535D4" w:rsidRPr="009F4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</w:t>
            </w:r>
            <w:r w:rsidR="002535D4" w:rsidRPr="009F47FF">
              <w:rPr>
                <w:rFonts w:ascii="Times New Roman" w:hAnsi="Times New Roman"/>
                <w:sz w:val="24"/>
                <w:szCs w:val="24"/>
              </w:rPr>
              <w:t xml:space="preserve">проекты по трудотерапии, гарденотерапии, </w:t>
            </w:r>
            <w:r w:rsidR="00EE79BC" w:rsidRPr="009F47FF">
              <w:rPr>
                <w:rFonts w:ascii="Times New Roman" w:hAnsi="Times New Roman"/>
                <w:sz w:val="24"/>
                <w:szCs w:val="24"/>
              </w:rPr>
              <w:t xml:space="preserve">работает трудовая  мастерская «Радуга плетения», проводятся занятия по швейному делу «Лоскутное шитье», «Чердачная игрушка». </w:t>
            </w:r>
            <w:r w:rsidR="00E63190" w:rsidRPr="009F47FF">
              <w:rPr>
                <w:rFonts w:ascii="Times New Roman" w:hAnsi="Times New Roman"/>
                <w:sz w:val="24"/>
                <w:szCs w:val="24"/>
              </w:rPr>
              <w:t xml:space="preserve"> На территории учреждения имеется теплица. Во время занятий дети учатся  ухаживать за комнатными растениями, высаживать зеленые насаждения, правильно их поливать и подкармливать. Ребята принимают  активное участие в уборке территории и реабилитационных групп. Участвуют в трудовых десантах, подготовке тематических выставок. В мероприятиях по трудотерапии приняли участие  39 несовершеннолетних.</w:t>
            </w:r>
          </w:p>
          <w:p w:rsidR="00664806" w:rsidRPr="00E63190" w:rsidRDefault="00E63190" w:rsidP="009F47FF">
            <w:pPr>
              <w:jc w:val="both"/>
              <w:rPr>
                <w:sz w:val="18"/>
                <w:szCs w:val="18"/>
              </w:rPr>
            </w:pPr>
            <w:r w:rsidRPr="009F47FF">
              <w:rPr>
                <w:rFonts w:ascii="Times New Roman" w:hAnsi="Times New Roman"/>
                <w:sz w:val="24"/>
                <w:szCs w:val="24"/>
              </w:rPr>
              <w:t>В результате участия в программах по трудотерапии уровень трудовых умений вырос у 64 % детей  (25 чел.)</w:t>
            </w:r>
            <w:r w:rsidR="009F47FF">
              <w:rPr>
                <w:sz w:val="18"/>
                <w:szCs w:val="18"/>
              </w:rPr>
              <w:t xml:space="preserve"> </w:t>
            </w:r>
          </w:p>
        </w:tc>
      </w:tr>
      <w:tr w:rsidR="00664806" w:rsidRPr="008C77E2" w:rsidTr="0022630A">
        <w:trPr>
          <w:trHeight w:val="98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540" w:right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социального сопровождения семей, воспитывающих детей с РАС, включающего медицинскую, психологическую, педагогическую,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юридическую и социальную помощь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Default="009F47FF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64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 в 2018 году не проводилось, в связи с отсутствием запроса от семей на данный вид работы</w:t>
            </w:r>
          </w:p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806" w:rsidRPr="008C77E2" w:rsidTr="0022630A">
        <w:trPr>
          <w:trHeight w:val="8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352"/>
                <w:tab w:val="left" w:pos="606"/>
              </w:tabs>
              <w:spacing w:after="0" w:line="360" w:lineRule="auto"/>
              <w:ind w:left="-540" w:right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1       15.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06" w:rsidRPr="008C77E2" w:rsidRDefault="009F47FF" w:rsidP="001A6F7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«Передышка» не реализуется в учреждении</w:t>
            </w:r>
          </w:p>
        </w:tc>
      </w:tr>
      <w:tr w:rsidR="00664806" w:rsidRPr="008C77E2" w:rsidTr="0022630A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left="-540" w:right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5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806" w:rsidRPr="008C77E2" w:rsidTr="0022630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tabs>
                <w:tab w:val="left" w:pos="606"/>
              </w:tabs>
              <w:spacing w:after="0" w:line="360" w:lineRule="auto"/>
              <w:ind w:right="31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64806" w:rsidRPr="008C77E2" w:rsidRDefault="00664806" w:rsidP="0022630A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6" w:rsidRPr="008C77E2" w:rsidRDefault="006158CA" w:rsidP="001A6F7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6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="001A6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ментальными нарушениями и 1 ребенок с </w:t>
            </w:r>
            <w:r w:rsidR="00664806" w:rsidRPr="008C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 w:rsidR="001A6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нуждающихся  в домашнем визитировании, получили комплекс социальных услуг, в том числе: социально-педагогические, социально-психологические и  социально-медицинские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D7FF0" w:rsidRDefault="000D7FF0" w:rsidP="006648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D7FF0" w:rsidRPr="000D7FF0" w:rsidRDefault="000D7FF0" w:rsidP="000D7F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F0" w:rsidRPr="000D7FF0" w:rsidRDefault="000D7FF0" w:rsidP="000D7F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F0" w:rsidRPr="000D7FF0" w:rsidRDefault="000D7FF0" w:rsidP="000D7F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FF0" w:rsidRDefault="000D7FF0" w:rsidP="000D7FF0">
      <w:pP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56F6" w:rsidRDefault="00BF56F6"/>
    <w:sectPr w:rsidR="00BF56F6" w:rsidSect="000D7FF0">
      <w:headerReference w:type="even" r:id="rId18"/>
      <w:headerReference w:type="default" r:id="rId19"/>
      <w:footerReference w:type="even" r:id="rId20"/>
      <w:footerReference w:type="default" r:id="rId2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50" w:rsidRDefault="002A3250" w:rsidP="00321E50">
      <w:pPr>
        <w:spacing w:after="0" w:line="240" w:lineRule="auto"/>
      </w:pPr>
      <w:r>
        <w:separator/>
      </w:r>
    </w:p>
  </w:endnote>
  <w:endnote w:type="continuationSeparator" w:id="1">
    <w:p w:rsidR="002A3250" w:rsidRDefault="002A3250" w:rsidP="003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A36C3E" w:rsidP="007A42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E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03A" w:rsidRDefault="002A32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2A3250" w:rsidP="007A42E4">
    <w:pPr>
      <w:pStyle w:val="a5"/>
      <w:framePr w:wrap="around" w:vAnchor="text" w:hAnchor="margin" w:xAlign="center" w:y="1"/>
      <w:rPr>
        <w:rStyle w:val="a7"/>
      </w:rPr>
    </w:pPr>
  </w:p>
  <w:p w:rsidR="0022603A" w:rsidRDefault="002A3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50" w:rsidRDefault="002A3250" w:rsidP="00321E50">
      <w:pPr>
        <w:spacing w:after="0" w:line="240" w:lineRule="auto"/>
      </w:pPr>
      <w:r>
        <w:separator/>
      </w:r>
    </w:p>
  </w:footnote>
  <w:footnote w:type="continuationSeparator" w:id="1">
    <w:p w:rsidR="002A3250" w:rsidRDefault="002A3250" w:rsidP="0032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A36C3E" w:rsidP="007A42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6E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03A" w:rsidRDefault="002A3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A36C3E">
    <w:pPr>
      <w:pStyle w:val="a3"/>
      <w:jc w:val="center"/>
    </w:pPr>
    <w:r>
      <w:fldChar w:fldCharType="begin"/>
    </w:r>
    <w:r w:rsidR="00546E18">
      <w:instrText>PAGE   \* MERGEFORMAT</w:instrText>
    </w:r>
    <w:r>
      <w:fldChar w:fldCharType="separate"/>
    </w:r>
    <w:r w:rsidR="00ED1347">
      <w:rPr>
        <w:noProof/>
      </w:rPr>
      <w:t>1</w:t>
    </w:r>
    <w:r>
      <w:fldChar w:fldCharType="end"/>
    </w:r>
  </w:p>
  <w:p w:rsidR="0022603A" w:rsidRDefault="002A32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06"/>
    <w:rsid w:val="00043E6B"/>
    <w:rsid w:val="00052E5B"/>
    <w:rsid w:val="0009317F"/>
    <w:rsid w:val="000D7FF0"/>
    <w:rsid w:val="000F0EA8"/>
    <w:rsid w:val="000F5A4C"/>
    <w:rsid w:val="001A6F71"/>
    <w:rsid w:val="00240C7A"/>
    <w:rsid w:val="002535D4"/>
    <w:rsid w:val="002A3250"/>
    <w:rsid w:val="002C4948"/>
    <w:rsid w:val="00321E50"/>
    <w:rsid w:val="003561A8"/>
    <w:rsid w:val="004B3B33"/>
    <w:rsid w:val="005015D9"/>
    <w:rsid w:val="00505B6B"/>
    <w:rsid w:val="00546E18"/>
    <w:rsid w:val="006158CA"/>
    <w:rsid w:val="00664806"/>
    <w:rsid w:val="00761E4B"/>
    <w:rsid w:val="008264C3"/>
    <w:rsid w:val="008264ED"/>
    <w:rsid w:val="008F4BA5"/>
    <w:rsid w:val="009C2855"/>
    <w:rsid w:val="009F47FF"/>
    <w:rsid w:val="00A36C3E"/>
    <w:rsid w:val="00A7297D"/>
    <w:rsid w:val="00B07C8B"/>
    <w:rsid w:val="00B07F0C"/>
    <w:rsid w:val="00B66B0B"/>
    <w:rsid w:val="00BF56F6"/>
    <w:rsid w:val="00CC5757"/>
    <w:rsid w:val="00D66AC7"/>
    <w:rsid w:val="00D87601"/>
    <w:rsid w:val="00D952B8"/>
    <w:rsid w:val="00DE6639"/>
    <w:rsid w:val="00E63190"/>
    <w:rsid w:val="00E92F7A"/>
    <w:rsid w:val="00ED1347"/>
    <w:rsid w:val="00EE79BC"/>
    <w:rsid w:val="00F1602F"/>
    <w:rsid w:val="00F164C5"/>
    <w:rsid w:val="00F308BE"/>
    <w:rsid w:val="00F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06"/>
    <w:rPr>
      <w:rFonts w:ascii="Calibri" w:eastAsia="Calibri" w:hAnsi="Calibri" w:cs="Times New Roman"/>
    </w:rPr>
  </w:style>
  <w:style w:type="character" w:styleId="a7">
    <w:name w:val="page number"/>
    <w:basedOn w:val="a0"/>
    <w:rsid w:val="00664806"/>
  </w:style>
  <w:style w:type="paragraph" w:customStyle="1" w:styleId="Default">
    <w:name w:val="Default"/>
    <w:rsid w:val="00DE6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356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561A8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505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66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cghtdmfwedx0jsb.xn--p1ai/upload/medialibrary/bff/broshyura_autizm_25.07.2017.pdf" TargetMode="External"/><Relationship Id="rId13" Type="http://schemas.openxmlformats.org/officeDocument/2006/relationships/hyperlink" Target="http://xn--90aacghtdmfwedx0jsb.xn--p1ai/upload/medialibrary/a43/simptomy-autizma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xn--90aacghtdmfwedx0jsb.xn--p1ai/upload/medialibrary/c22/pamyatka-ob-autizme_-razrabotannaya-ano-_tsentr-reabilitatsii-invalidov-detstva-_nash-solnechnyy-mir_.docx" TargetMode="External"/><Relationship Id="rId12" Type="http://schemas.openxmlformats.org/officeDocument/2006/relationships/hyperlink" Target="http://xn--90aacghtdmfwedx0jsb.xn--p1ai/upload/medialibrary/e56/chto-nuzhno-znat-ob-autizme.pdf" TargetMode="External"/><Relationship Id="rId17" Type="http://schemas.openxmlformats.org/officeDocument/2006/relationships/hyperlink" Target="http://www.e-reading.club/bookreader.php/103887/Yanushko_-_Igry_s_autichnym_rebenk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utfund.ru/chto-takoe-vizualnye-raspisaniya-dlya-rebenka-s-autizm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90aacghtdmfwedx0jsb.xn--p1ai/upload/medialibrary/09c/formirovanie-zhiznenny-kompitentsiy-u-rebenka-s-ra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ollib.com/b/288079/re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90aacghtdmfwedx0jsb.xn--p1ai/upload/medialibrary/a50/organizatsiya-zhiznennogo-prostranstva-rebenka-s-ra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xn--90aacghtdmfwedx0jsb.xn--p1ai/upload/iblock/627/autism_and_work_russian.pdf" TargetMode="External"/><Relationship Id="rId14" Type="http://schemas.openxmlformats.org/officeDocument/2006/relationships/hyperlink" Target="http://www.autism.ru/read.asp?id=110&amp;vol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8B585-34A2-49E7-86E5-62E7D8F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Г.П. Быкова</dc:creator>
  <cp:keywords/>
  <dc:description/>
  <cp:lastModifiedBy>ШароноваЮВ</cp:lastModifiedBy>
  <cp:revision>15</cp:revision>
  <dcterms:created xsi:type="dcterms:W3CDTF">2018-09-17T06:25:00Z</dcterms:created>
  <dcterms:modified xsi:type="dcterms:W3CDTF">2018-10-31T05:24:00Z</dcterms:modified>
</cp:coreProperties>
</file>